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019F" w14:textId="77777777" w:rsidR="00B75337" w:rsidRPr="00B75337" w:rsidRDefault="00B75337" w:rsidP="00B75337">
      <w:pPr>
        <w:spacing w:after="200" w:line="276" w:lineRule="auto"/>
        <w:jc w:val="center"/>
        <w:rPr>
          <w:rFonts w:eastAsia="Calibri" w:cs="Times New Roman"/>
          <w:b/>
        </w:rPr>
      </w:pPr>
      <w:r w:rsidRPr="00B75337">
        <w:rPr>
          <w:rFonts w:eastAsia="Calibri" w:cs="Times New Roman"/>
          <w:b/>
        </w:rPr>
        <w:t>AB ORLEN LIETUVA</w:t>
      </w:r>
    </w:p>
    <w:p w14:paraId="39E8F801" w14:textId="156619CB" w:rsidR="007C24E7" w:rsidRPr="00B75337" w:rsidRDefault="00B75337" w:rsidP="00B75337">
      <w:pPr>
        <w:spacing w:after="200" w:line="276" w:lineRule="auto"/>
        <w:jc w:val="center"/>
        <w:rPr>
          <w:rFonts w:eastAsia="Calibri" w:cs="Times New Roman"/>
          <w:b/>
          <w:bCs/>
          <w:szCs w:val="24"/>
          <w:shd w:val="clear" w:color="auto" w:fill="FFFFFF"/>
        </w:rPr>
      </w:pPr>
      <w:r w:rsidRPr="00B75337">
        <w:rPr>
          <w:rFonts w:eastAsia="Calibri" w:cs="Times New Roman"/>
          <w:b/>
        </w:rPr>
        <w:t xml:space="preserve">TECHNICAL </w:t>
      </w:r>
      <w:r w:rsidR="002129AA">
        <w:rPr>
          <w:rFonts w:eastAsia="Calibri" w:cs="Times New Roman"/>
          <w:b/>
        </w:rPr>
        <w:t>SPECIFICATION</w:t>
      </w:r>
      <w:r w:rsidRPr="00B75337">
        <w:rPr>
          <w:rFonts w:eastAsia="Calibri" w:cs="Times New Roman"/>
          <w:b/>
        </w:rPr>
        <w:t xml:space="preserve"> FOR THE PURCHASE OF SHARE MARKET VALUATION SERVICES</w:t>
      </w:r>
    </w:p>
    <w:p w14:paraId="397F089E" w14:textId="77777777" w:rsidR="007C24E7" w:rsidRPr="00B75337" w:rsidRDefault="007C24E7" w:rsidP="007C24E7">
      <w:pPr>
        <w:keepNext/>
        <w:keepLines/>
        <w:tabs>
          <w:tab w:val="left" w:pos="905"/>
        </w:tabs>
        <w:spacing w:after="0" w:line="240" w:lineRule="auto"/>
        <w:jc w:val="both"/>
        <w:outlineLvl w:val="1"/>
        <w:rPr>
          <w:rFonts w:eastAsia="Times New Roman" w:cs="Times New Roman"/>
          <w:b/>
          <w:sz w:val="19"/>
          <w:szCs w:val="19"/>
          <w:u w:val="single"/>
          <w:shd w:val="clear" w:color="auto" w:fill="FFFFFF"/>
          <w:lang w:eastAsia="x-none"/>
        </w:rPr>
      </w:pPr>
    </w:p>
    <w:p w14:paraId="597A6F76" w14:textId="77777777" w:rsidR="00076BFC" w:rsidRPr="00B75337" w:rsidRDefault="00076BFC" w:rsidP="007C24E7">
      <w:pPr>
        <w:keepNext/>
        <w:keepLines/>
        <w:tabs>
          <w:tab w:val="left" w:pos="905"/>
        </w:tabs>
        <w:spacing w:after="0" w:line="240" w:lineRule="auto"/>
        <w:jc w:val="both"/>
        <w:outlineLvl w:val="1"/>
        <w:rPr>
          <w:rFonts w:eastAsia="Times New Roman" w:cs="Times New Roman"/>
          <w:b/>
          <w:sz w:val="19"/>
          <w:szCs w:val="19"/>
          <w:u w:val="single"/>
          <w:shd w:val="clear" w:color="auto" w:fill="FFFFFF"/>
          <w:lang w:eastAsia="x-none"/>
        </w:rPr>
      </w:pPr>
    </w:p>
    <w:p w14:paraId="2416AC92" w14:textId="6E55FEBE" w:rsidR="007179BA" w:rsidRPr="00753D7E" w:rsidRDefault="00B75337" w:rsidP="00753D7E">
      <w:pPr>
        <w:spacing w:line="360" w:lineRule="auto"/>
        <w:jc w:val="both"/>
        <w:rPr>
          <w:rFonts w:cs="Times New Roman"/>
          <w:bCs/>
          <w:color w:val="000000"/>
          <w:szCs w:val="24"/>
          <w:u w:val="single"/>
        </w:rPr>
      </w:pPr>
      <w:r w:rsidRPr="00753D7E">
        <w:rPr>
          <w:rFonts w:eastAsia="Times New Roman" w:cs="Times New Roman"/>
          <w:szCs w:val="24"/>
          <w:shd w:val="clear" w:color="auto" w:fill="FFFFFF"/>
          <w:lang w:eastAsia="x-none"/>
        </w:rPr>
        <w:t>AB ORLEN Lietuva (hereinafter, the Company) plans to purchase share market valuation services for the purpose of selling shares.</w:t>
      </w:r>
    </w:p>
    <w:p w14:paraId="57581CBA" w14:textId="32DBD35B" w:rsidR="00B75337" w:rsidRPr="00B75337" w:rsidRDefault="002129AA" w:rsidP="00B75337">
      <w:pPr>
        <w:spacing w:after="200" w:line="276" w:lineRule="auto"/>
        <w:rPr>
          <w:rFonts w:eastAsia="Times New Roman" w:cs="Times New Roman"/>
          <w:kern w:val="2"/>
          <w:szCs w:val="24"/>
          <w:u w:val="single"/>
          <w14:ligatures w14:val="standardContextual"/>
        </w:rPr>
      </w:pPr>
      <w:r>
        <w:rPr>
          <w:rFonts w:eastAsia="Times New Roman" w:cs="Times New Roman"/>
          <w:kern w:val="2"/>
          <w:szCs w:val="24"/>
          <w:u w:val="single"/>
          <w14:ligatures w14:val="standardContextual"/>
        </w:rPr>
        <w:t xml:space="preserve">1. </w:t>
      </w:r>
      <w:r w:rsidR="00B75337" w:rsidRPr="00B75337">
        <w:rPr>
          <w:rFonts w:eastAsia="Times New Roman" w:cs="Times New Roman"/>
          <w:kern w:val="2"/>
          <w:szCs w:val="24"/>
          <w:u w:val="single"/>
          <w14:ligatures w14:val="standardContextual"/>
        </w:rPr>
        <w:t>The service provider must:</w:t>
      </w:r>
    </w:p>
    <w:p w14:paraId="6A52F105" w14:textId="77777777" w:rsidR="00B75337" w:rsidRPr="00B75337" w:rsidRDefault="00B75337" w:rsidP="00B75337">
      <w:pPr>
        <w:spacing w:after="200" w:line="276" w:lineRule="auto"/>
        <w:rPr>
          <w:rFonts w:eastAsia="Times New Roman" w:cs="Times New Roman"/>
          <w:kern w:val="2"/>
          <w:szCs w:val="24"/>
          <w14:ligatures w14:val="standardContextual"/>
        </w:rPr>
      </w:pPr>
      <w:r w:rsidRPr="00B75337">
        <w:rPr>
          <w:rFonts w:eastAsia="Times New Roman" w:cs="Times New Roman"/>
          <w:kern w:val="2"/>
          <w:szCs w:val="24"/>
          <w14:ligatures w14:val="standardContextual"/>
        </w:rPr>
        <w:t xml:space="preserve">- be a property or business valuation company – a legal entity established in the Republic of Lithuania, a legal entity of another EU Member State, or another organization, or their branches, which are engaged in property or business valuation activities in accordance with the procedure established by the laws of the Republic of </w:t>
      </w:r>
      <w:proofErr w:type="gramStart"/>
      <w:r w:rsidRPr="00B75337">
        <w:rPr>
          <w:rFonts w:eastAsia="Times New Roman" w:cs="Times New Roman"/>
          <w:kern w:val="2"/>
          <w:szCs w:val="24"/>
          <w14:ligatures w14:val="standardContextual"/>
        </w:rPr>
        <w:t>Lithuania;</w:t>
      </w:r>
      <w:proofErr w:type="gramEnd"/>
    </w:p>
    <w:p w14:paraId="0AF54AC6" w14:textId="77777777" w:rsidR="00B75337" w:rsidRPr="00B75337" w:rsidRDefault="00B75337" w:rsidP="00B75337">
      <w:pPr>
        <w:spacing w:after="200" w:line="276" w:lineRule="auto"/>
        <w:rPr>
          <w:rFonts w:eastAsia="Times New Roman" w:cs="Times New Roman"/>
          <w:kern w:val="2"/>
          <w:szCs w:val="24"/>
          <w14:ligatures w14:val="standardContextual"/>
        </w:rPr>
      </w:pPr>
      <w:r w:rsidRPr="00B75337">
        <w:rPr>
          <w:rFonts w:eastAsia="Times New Roman" w:cs="Times New Roman"/>
          <w:kern w:val="2"/>
          <w:szCs w:val="24"/>
          <w14:ligatures w14:val="standardContextual"/>
        </w:rPr>
        <w:t>- comply with the requirements set out in Article 12 of the Law of the Republic of Lithuania on the Fundamentals of Property and Business Valuation.</w:t>
      </w:r>
    </w:p>
    <w:p w14:paraId="6AB4E62F" w14:textId="77777777" w:rsidR="002129AA" w:rsidRDefault="002129AA" w:rsidP="00B75337">
      <w:pPr>
        <w:spacing w:after="200" w:line="276" w:lineRule="auto"/>
        <w:rPr>
          <w:rFonts w:eastAsia="Times New Roman" w:cs="Times New Roman"/>
          <w:kern w:val="2"/>
          <w:szCs w:val="24"/>
          <w:u w:val="single"/>
          <w14:ligatures w14:val="standardContextual"/>
        </w:rPr>
      </w:pPr>
    </w:p>
    <w:p w14:paraId="2DC54E15" w14:textId="7E1AF1A3" w:rsidR="00B75337" w:rsidRPr="00B75337" w:rsidRDefault="002129AA" w:rsidP="00B75337">
      <w:pPr>
        <w:spacing w:after="200" w:line="276" w:lineRule="auto"/>
        <w:rPr>
          <w:rFonts w:eastAsia="Times New Roman" w:cs="Times New Roman"/>
          <w:kern w:val="2"/>
          <w:szCs w:val="24"/>
          <w:u w:val="single"/>
          <w14:ligatures w14:val="standardContextual"/>
        </w:rPr>
      </w:pPr>
      <w:r>
        <w:rPr>
          <w:rFonts w:eastAsia="Times New Roman" w:cs="Times New Roman"/>
          <w:kern w:val="2"/>
          <w:szCs w:val="24"/>
          <w:u w:val="single"/>
          <w14:ligatures w14:val="standardContextual"/>
        </w:rPr>
        <w:t xml:space="preserve">2. </w:t>
      </w:r>
      <w:r w:rsidR="00B75337" w:rsidRPr="00B75337">
        <w:rPr>
          <w:rFonts w:eastAsia="Times New Roman" w:cs="Times New Roman"/>
          <w:kern w:val="2"/>
          <w:szCs w:val="24"/>
          <w:u w:val="single"/>
          <w14:ligatures w14:val="standardContextual"/>
        </w:rPr>
        <w:t>Object and purpose of share market value determination:</w:t>
      </w:r>
    </w:p>
    <w:p w14:paraId="22D2694E" w14:textId="5B5491BA" w:rsidR="00B75337" w:rsidRPr="00FA0B14" w:rsidRDefault="00B75337" w:rsidP="00FA0B14">
      <w:pPr>
        <w:pStyle w:val="ListParagraph"/>
        <w:numPr>
          <w:ilvl w:val="0"/>
          <w:numId w:val="20"/>
        </w:numPr>
        <w:spacing w:after="200" w:line="276" w:lineRule="auto"/>
        <w:rPr>
          <w:rFonts w:eastAsia="Times New Roman" w:cs="Times New Roman"/>
          <w:kern w:val="2"/>
          <w:szCs w:val="24"/>
          <w14:ligatures w14:val="standardContextual"/>
        </w:rPr>
      </w:pPr>
      <w:r w:rsidRPr="00FA0B14">
        <w:rPr>
          <w:rFonts w:eastAsia="Times New Roman" w:cs="Times New Roman"/>
          <w:kern w:val="2"/>
          <w:szCs w:val="24"/>
          <w14:ligatures w14:val="standardContextual"/>
        </w:rPr>
        <w:t xml:space="preserve">Object of valuation – a 6.9% shareholding owned by AB ORLEN Lietuva in UAB </w:t>
      </w:r>
      <w:proofErr w:type="spellStart"/>
      <w:r w:rsidRPr="00FA0B14">
        <w:rPr>
          <w:rFonts w:eastAsia="Times New Roman" w:cs="Times New Roman"/>
          <w:kern w:val="2"/>
          <w:szCs w:val="24"/>
          <w14:ligatures w14:val="standardContextual"/>
        </w:rPr>
        <w:t>Biržų</w:t>
      </w:r>
      <w:proofErr w:type="spellEnd"/>
      <w:r w:rsidRPr="00FA0B14">
        <w:rPr>
          <w:rFonts w:eastAsia="Times New Roman" w:cs="Times New Roman"/>
          <w:kern w:val="2"/>
          <w:szCs w:val="24"/>
          <w14:ligatures w14:val="standardContextual"/>
        </w:rPr>
        <w:t xml:space="preserve"> </w:t>
      </w:r>
      <w:proofErr w:type="spellStart"/>
      <w:r w:rsidRPr="00FA0B14">
        <w:rPr>
          <w:rFonts w:eastAsia="Times New Roman" w:cs="Times New Roman"/>
          <w:kern w:val="2"/>
          <w:szCs w:val="24"/>
          <w14:ligatures w14:val="standardContextual"/>
        </w:rPr>
        <w:t>Vandenys</w:t>
      </w:r>
      <w:proofErr w:type="spellEnd"/>
      <w:r w:rsidRPr="00FA0B14">
        <w:rPr>
          <w:rFonts w:eastAsia="Times New Roman" w:cs="Times New Roman"/>
          <w:kern w:val="2"/>
          <w:szCs w:val="24"/>
          <w14:ligatures w14:val="standardContextual"/>
        </w:rPr>
        <w:t xml:space="preserve">. UAB </w:t>
      </w:r>
      <w:proofErr w:type="spellStart"/>
      <w:r w:rsidRPr="00FA0B14">
        <w:rPr>
          <w:rFonts w:eastAsia="Times New Roman" w:cs="Times New Roman"/>
          <w:kern w:val="2"/>
          <w:szCs w:val="24"/>
          <w14:ligatures w14:val="standardContextual"/>
        </w:rPr>
        <w:t>Biržų</w:t>
      </w:r>
      <w:proofErr w:type="spellEnd"/>
      <w:r w:rsidRPr="00FA0B14">
        <w:rPr>
          <w:rFonts w:eastAsia="Times New Roman" w:cs="Times New Roman"/>
          <w:kern w:val="2"/>
          <w:szCs w:val="24"/>
          <w14:ligatures w14:val="standardContextual"/>
        </w:rPr>
        <w:t xml:space="preserve"> </w:t>
      </w:r>
      <w:proofErr w:type="spellStart"/>
      <w:r w:rsidRPr="00FA0B14">
        <w:rPr>
          <w:rFonts w:eastAsia="Times New Roman" w:cs="Times New Roman"/>
          <w:kern w:val="2"/>
          <w:szCs w:val="24"/>
          <w14:ligatures w14:val="standardContextual"/>
        </w:rPr>
        <w:t>Vandenys</w:t>
      </w:r>
      <w:proofErr w:type="spellEnd"/>
      <w:r w:rsidRPr="00FA0B14">
        <w:rPr>
          <w:rFonts w:eastAsia="Times New Roman" w:cs="Times New Roman"/>
          <w:kern w:val="2"/>
          <w:szCs w:val="24"/>
          <w14:ligatures w14:val="standardContextual"/>
        </w:rPr>
        <w:t xml:space="preserve">, legal entity code 154850665, registered office address </w:t>
      </w:r>
      <w:proofErr w:type="spellStart"/>
      <w:r w:rsidRPr="00FA0B14">
        <w:rPr>
          <w:rFonts w:eastAsia="Times New Roman" w:cs="Times New Roman"/>
          <w:kern w:val="2"/>
          <w:szCs w:val="24"/>
          <w14:ligatures w14:val="standardContextual"/>
        </w:rPr>
        <w:t>Rotušės</w:t>
      </w:r>
      <w:proofErr w:type="spellEnd"/>
      <w:r w:rsidRPr="00FA0B14">
        <w:rPr>
          <w:rFonts w:eastAsia="Times New Roman" w:cs="Times New Roman"/>
          <w:kern w:val="2"/>
          <w:szCs w:val="24"/>
          <w14:ligatures w14:val="standardContextual"/>
        </w:rPr>
        <w:t xml:space="preserve"> g. 30, </w:t>
      </w:r>
      <w:proofErr w:type="spellStart"/>
      <w:r w:rsidRPr="00FA0B14">
        <w:rPr>
          <w:rFonts w:eastAsia="Times New Roman" w:cs="Times New Roman"/>
          <w:kern w:val="2"/>
          <w:szCs w:val="24"/>
          <w14:ligatures w14:val="standardContextual"/>
        </w:rPr>
        <w:t>Biržai</w:t>
      </w:r>
      <w:proofErr w:type="spellEnd"/>
      <w:r w:rsidRPr="00FA0B14">
        <w:rPr>
          <w:rFonts w:eastAsia="Times New Roman" w:cs="Times New Roman"/>
          <w:kern w:val="2"/>
          <w:szCs w:val="24"/>
          <w14:ligatures w14:val="standardContextual"/>
        </w:rPr>
        <w:t xml:space="preserve">. Main activity – water supply to consumers in </w:t>
      </w:r>
      <w:proofErr w:type="spellStart"/>
      <w:r w:rsidRPr="00FA0B14">
        <w:rPr>
          <w:rFonts w:eastAsia="Times New Roman" w:cs="Times New Roman"/>
          <w:kern w:val="2"/>
          <w:szCs w:val="24"/>
          <w14:ligatures w14:val="standardContextual"/>
        </w:rPr>
        <w:t>Biržai</w:t>
      </w:r>
      <w:proofErr w:type="spellEnd"/>
      <w:r w:rsidRPr="00FA0B14">
        <w:rPr>
          <w:rFonts w:eastAsia="Times New Roman" w:cs="Times New Roman"/>
          <w:kern w:val="2"/>
          <w:szCs w:val="24"/>
          <w14:ligatures w14:val="standardContextual"/>
        </w:rPr>
        <w:t xml:space="preserve"> District, wastewater treatment and disposal.</w:t>
      </w:r>
    </w:p>
    <w:p w14:paraId="7D1E9D7D" w14:textId="6ED39914" w:rsidR="00B75337" w:rsidRPr="00FA0B14" w:rsidRDefault="00B75337" w:rsidP="00FA0B14">
      <w:pPr>
        <w:pStyle w:val="ListParagraph"/>
        <w:numPr>
          <w:ilvl w:val="0"/>
          <w:numId w:val="20"/>
        </w:numPr>
        <w:spacing w:after="200" w:line="276" w:lineRule="auto"/>
        <w:rPr>
          <w:rFonts w:eastAsia="Times New Roman" w:cs="Times New Roman"/>
          <w:kern w:val="2"/>
          <w:szCs w:val="24"/>
          <w14:ligatures w14:val="standardContextual"/>
        </w:rPr>
      </w:pPr>
      <w:r w:rsidRPr="00FA0B14">
        <w:rPr>
          <w:rFonts w:eastAsia="Times New Roman" w:cs="Times New Roman"/>
          <w:kern w:val="2"/>
          <w:szCs w:val="24"/>
          <w14:ligatures w14:val="standardContextual"/>
        </w:rPr>
        <w:t>Purpose of share market value determination – sale.</w:t>
      </w:r>
    </w:p>
    <w:p w14:paraId="1A8CC18B" w14:textId="76D64CF2" w:rsidR="00B75337" w:rsidRPr="00FA0B14" w:rsidRDefault="00B75337" w:rsidP="00FA0B14">
      <w:pPr>
        <w:pStyle w:val="ListParagraph"/>
        <w:numPr>
          <w:ilvl w:val="0"/>
          <w:numId w:val="20"/>
        </w:numPr>
        <w:spacing w:after="200" w:line="276" w:lineRule="auto"/>
        <w:rPr>
          <w:rFonts w:eastAsia="Times New Roman" w:cs="Times New Roman"/>
          <w:kern w:val="2"/>
          <w:szCs w:val="24"/>
          <w14:ligatures w14:val="standardContextual"/>
        </w:rPr>
      </w:pPr>
      <w:r w:rsidRPr="00FA0B14">
        <w:rPr>
          <w:rFonts w:eastAsia="Times New Roman" w:cs="Times New Roman"/>
          <w:kern w:val="2"/>
          <w:szCs w:val="24"/>
          <w14:ligatures w14:val="standardContextual"/>
        </w:rPr>
        <w:t>The recommended valuation method is the income approach (discounted cash flow method); additionally, comparative, mixed, asset-based and other valuation methods may also be used.</w:t>
      </w:r>
    </w:p>
    <w:p w14:paraId="24E9B229" w14:textId="34EE6928" w:rsidR="00B75337" w:rsidRPr="00FA0B14" w:rsidRDefault="00B75337" w:rsidP="00FA0B14">
      <w:pPr>
        <w:pStyle w:val="ListParagraph"/>
        <w:numPr>
          <w:ilvl w:val="0"/>
          <w:numId w:val="20"/>
        </w:numPr>
        <w:spacing w:after="200" w:line="276" w:lineRule="auto"/>
        <w:rPr>
          <w:rFonts w:eastAsia="Times New Roman" w:cs="Times New Roman"/>
          <w:kern w:val="2"/>
          <w:szCs w:val="24"/>
          <w14:ligatures w14:val="standardContextual"/>
        </w:rPr>
      </w:pPr>
      <w:r w:rsidRPr="00FA0B14">
        <w:rPr>
          <w:rFonts w:eastAsia="Times New Roman" w:cs="Times New Roman"/>
          <w:kern w:val="2"/>
          <w:szCs w:val="24"/>
          <w14:ligatures w14:val="standardContextual"/>
        </w:rPr>
        <w:t>Together with the commercial offer, the service provider must submit a list of information required for determining the share market value, which will be provided to the service provider after the contract is concluded.</w:t>
      </w:r>
    </w:p>
    <w:p w14:paraId="34649F5E" w14:textId="77777777" w:rsidR="00B75337" w:rsidRPr="00B75337" w:rsidRDefault="00B75337" w:rsidP="00B75337">
      <w:pPr>
        <w:spacing w:after="200" w:line="276" w:lineRule="auto"/>
        <w:rPr>
          <w:rFonts w:eastAsia="Times New Roman" w:cs="Times New Roman"/>
          <w:kern w:val="2"/>
          <w:szCs w:val="24"/>
          <w14:ligatures w14:val="standardContextual"/>
        </w:rPr>
      </w:pPr>
    </w:p>
    <w:p w14:paraId="1342B623" w14:textId="3BD539E6" w:rsidR="00B75337" w:rsidRPr="00B75337" w:rsidRDefault="002129AA" w:rsidP="00B75337">
      <w:pPr>
        <w:spacing w:after="200" w:line="276" w:lineRule="auto"/>
        <w:rPr>
          <w:rFonts w:eastAsia="Times New Roman" w:cs="Times New Roman"/>
          <w:kern w:val="2"/>
          <w:szCs w:val="24"/>
          <w:u w:val="single"/>
          <w14:ligatures w14:val="standardContextual"/>
        </w:rPr>
      </w:pPr>
      <w:r>
        <w:rPr>
          <w:rFonts w:eastAsia="Times New Roman" w:cs="Times New Roman"/>
          <w:kern w:val="2"/>
          <w:szCs w:val="24"/>
          <w:u w:val="single"/>
          <w14:ligatures w14:val="standardContextual"/>
        </w:rPr>
        <w:t xml:space="preserve">3. </w:t>
      </w:r>
      <w:r w:rsidR="00B75337" w:rsidRPr="00B75337">
        <w:rPr>
          <w:rFonts w:eastAsia="Times New Roman" w:cs="Times New Roman"/>
          <w:kern w:val="2"/>
          <w:szCs w:val="24"/>
          <w:u w:val="single"/>
          <w14:ligatures w14:val="standardContextual"/>
        </w:rPr>
        <w:t>Service deadlines:</w:t>
      </w:r>
    </w:p>
    <w:p w14:paraId="5AD12778" w14:textId="5CC98B90" w:rsidR="007179BA" w:rsidRPr="00B75337" w:rsidRDefault="00B75337" w:rsidP="007179BA">
      <w:pPr>
        <w:spacing w:after="200" w:line="276" w:lineRule="auto"/>
      </w:pPr>
      <w:r w:rsidRPr="00B75337">
        <w:rPr>
          <w:rFonts w:eastAsia="Times New Roman" w:cs="Times New Roman"/>
          <w:kern w:val="2"/>
          <w:szCs w:val="24"/>
          <w14:ligatures w14:val="standardContextual"/>
        </w:rPr>
        <w:t>The preferred service completion period is 1 (one) month, i.e. it is expected that within this period, from the date of the Company’s order, the service provider will perform the determination of the share market value specified in the order and submit the corresponding Share Market Value Determination Report (the original may be provided in electronic form).</w:t>
      </w:r>
    </w:p>
    <w:sectPr w:rsidR="007179BA" w:rsidRPr="00B75337" w:rsidSect="00DB2F46">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D4462" w14:textId="77777777" w:rsidR="000B4F77" w:rsidRDefault="000B4F77" w:rsidP="002307D4">
      <w:pPr>
        <w:spacing w:after="0" w:line="240" w:lineRule="auto"/>
      </w:pPr>
      <w:r>
        <w:separator/>
      </w:r>
    </w:p>
  </w:endnote>
  <w:endnote w:type="continuationSeparator" w:id="0">
    <w:p w14:paraId="691DB6E9" w14:textId="77777777" w:rsidR="000B4F77" w:rsidRDefault="000B4F77" w:rsidP="0023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6F28" w14:textId="77777777" w:rsidR="000B4F77" w:rsidRDefault="000B4F77" w:rsidP="002307D4">
      <w:pPr>
        <w:spacing w:after="0" w:line="240" w:lineRule="auto"/>
      </w:pPr>
      <w:r>
        <w:separator/>
      </w:r>
    </w:p>
  </w:footnote>
  <w:footnote w:type="continuationSeparator" w:id="0">
    <w:p w14:paraId="22FADDED" w14:textId="77777777" w:rsidR="000B4F77" w:rsidRDefault="000B4F77" w:rsidP="00230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D51"/>
    <w:multiLevelType w:val="multilevel"/>
    <w:tmpl w:val="1144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04DA1"/>
    <w:multiLevelType w:val="hybridMultilevel"/>
    <w:tmpl w:val="F028E4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0CF06E9"/>
    <w:multiLevelType w:val="hybridMultilevel"/>
    <w:tmpl w:val="468CC650"/>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1BB60FC"/>
    <w:multiLevelType w:val="hybridMultilevel"/>
    <w:tmpl w:val="879E40E0"/>
    <w:lvl w:ilvl="0" w:tplc="9F7A92AE">
      <w:start w:val="3"/>
      <w:numFmt w:val="bullet"/>
      <w:lvlText w:val="-"/>
      <w:lvlJc w:val="left"/>
      <w:pPr>
        <w:ind w:left="420" w:hanging="360"/>
      </w:pPr>
      <w:rPr>
        <w:rFonts w:ascii="Times New Roman" w:eastAsiaTheme="minorHAnsi" w:hAnsi="Times New Roman" w:cs="Times New Roman" w:hint="default"/>
        <w:i/>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20768"/>
    <w:multiLevelType w:val="multilevel"/>
    <w:tmpl w:val="87D0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F0B1D"/>
    <w:multiLevelType w:val="multilevel"/>
    <w:tmpl w:val="0692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A71BA5"/>
    <w:multiLevelType w:val="hybridMultilevel"/>
    <w:tmpl w:val="9F86697C"/>
    <w:lvl w:ilvl="0" w:tplc="7C60F00C">
      <w:start w:val="1"/>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9F1194"/>
    <w:multiLevelType w:val="hybridMultilevel"/>
    <w:tmpl w:val="DEDE64C6"/>
    <w:lvl w:ilvl="0" w:tplc="2098E104">
      <w:start w:val="1"/>
      <w:numFmt w:val="decimal"/>
      <w:lvlText w:val="%1"/>
      <w:lvlJc w:val="left"/>
      <w:pPr>
        <w:ind w:left="72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066575"/>
    <w:multiLevelType w:val="hybridMultilevel"/>
    <w:tmpl w:val="DD04A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345500"/>
    <w:multiLevelType w:val="hybridMultilevel"/>
    <w:tmpl w:val="FCC4AC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F846CE"/>
    <w:multiLevelType w:val="hybridMultilevel"/>
    <w:tmpl w:val="03A4037C"/>
    <w:lvl w:ilvl="0" w:tplc="450429D4">
      <w:start w:val="1"/>
      <w:numFmt w:val="decimal"/>
      <w:lvlText w:val="%1."/>
      <w:lvlJc w:val="left"/>
      <w:pPr>
        <w:ind w:left="72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151E58"/>
    <w:multiLevelType w:val="hybridMultilevel"/>
    <w:tmpl w:val="6CC8BE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9A2D59"/>
    <w:multiLevelType w:val="hybridMultilevel"/>
    <w:tmpl w:val="5C2672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349E0"/>
    <w:multiLevelType w:val="hybridMultilevel"/>
    <w:tmpl w:val="D32004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AE2616"/>
    <w:multiLevelType w:val="multilevel"/>
    <w:tmpl w:val="871A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8D26D5"/>
    <w:multiLevelType w:val="hybridMultilevel"/>
    <w:tmpl w:val="CD6AF9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D320EE"/>
    <w:multiLevelType w:val="hybridMultilevel"/>
    <w:tmpl w:val="698EF7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6B5992"/>
    <w:multiLevelType w:val="hybridMultilevel"/>
    <w:tmpl w:val="C2001D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AA6BF5"/>
    <w:multiLevelType w:val="hybridMultilevel"/>
    <w:tmpl w:val="D7789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767C49"/>
    <w:multiLevelType w:val="hybridMultilevel"/>
    <w:tmpl w:val="56960D5E"/>
    <w:lvl w:ilvl="0" w:tplc="4DD671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E206974"/>
    <w:multiLevelType w:val="hybridMultilevel"/>
    <w:tmpl w:val="305A7D26"/>
    <w:lvl w:ilvl="0" w:tplc="F0B26A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62275869">
    <w:abstractNumId w:val="1"/>
  </w:num>
  <w:num w:numId="2" w16cid:durableId="11999973">
    <w:abstractNumId w:val="8"/>
  </w:num>
  <w:num w:numId="3" w16cid:durableId="1220291329">
    <w:abstractNumId w:val="20"/>
  </w:num>
  <w:num w:numId="4" w16cid:durableId="1788230696">
    <w:abstractNumId w:val="19"/>
  </w:num>
  <w:num w:numId="5" w16cid:durableId="233006270">
    <w:abstractNumId w:val="2"/>
  </w:num>
  <w:num w:numId="6" w16cid:durableId="1254321456">
    <w:abstractNumId w:val="9"/>
  </w:num>
  <w:num w:numId="7" w16cid:durableId="1305088481">
    <w:abstractNumId w:val="16"/>
  </w:num>
  <w:num w:numId="8" w16cid:durableId="1375613895">
    <w:abstractNumId w:val="3"/>
  </w:num>
  <w:num w:numId="9" w16cid:durableId="586426579">
    <w:abstractNumId w:val="12"/>
  </w:num>
  <w:num w:numId="10" w16cid:durableId="321860497">
    <w:abstractNumId w:val="13"/>
  </w:num>
  <w:num w:numId="11" w16cid:durableId="1085421421">
    <w:abstractNumId w:val="11"/>
  </w:num>
  <w:num w:numId="12" w16cid:durableId="1805195406">
    <w:abstractNumId w:val="15"/>
  </w:num>
  <w:num w:numId="13" w16cid:durableId="149098574">
    <w:abstractNumId w:val="6"/>
  </w:num>
  <w:num w:numId="14" w16cid:durableId="194122346">
    <w:abstractNumId w:val="7"/>
  </w:num>
  <w:num w:numId="15" w16cid:durableId="2032606627">
    <w:abstractNumId w:val="10"/>
  </w:num>
  <w:num w:numId="16" w16cid:durableId="135534246">
    <w:abstractNumId w:val="4"/>
  </w:num>
  <w:num w:numId="17" w16cid:durableId="78335908">
    <w:abstractNumId w:val="0"/>
  </w:num>
  <w:num w:numId="18" w16cid:durableId="341512511">
    <w:abstractNumId w:val="5"/>
  </w:num>
  <w:num w:numId="19" w16cid:durableId="887884946">
    <w:abstractNumId w:val="14"/>
  </w:num>
  <w:num w:numId="20" w16cid:durableId="606809053">
    <w:abstractNumId w:val="18"/>
  </w:num>
  <w:num w:numId="21" w16cid:durableId="5459201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BE8"/>
    <w:rsid w:val="0000201D"/>
    <w:rsid w:val="00022AF9"/>
    <w:rsid w:val="0002356A"/>
    <w:rsid w:val="000277CF"/>
    <w:rsid w:val="00036E01"/>
    <w:rsid w:val="000506F3"/>
    <w:rsid w:val="00054E03"/>
    <w:rsid w:val="0005546C"/>
    <w:rsid w:val="000600D5"/>
    <w:rsid w:val="00063332"/>
    <w:rsid w:val="00076BFC"/>
    <w:rsid w:val="00081204"/>
    <w:rsid w:val="0008234C"/>
    <w:rsid w:val="00082BBF"/>
    <w:rsid w:val="000A0705"/>
    <w:rsid w:val="000A1691"/>
    <w:rsid w:val="000A397E"/>
    <w:rsid w:val="000B21D6"/>
    <w:rsid w:val="000B4F77"/>
    <w:rsid w:val="000D2638"/>
    <w:rsid w:val="000D46F2"/>
    <w:rsid w:val="000E2371"/>
    <w:rsid w:val="000E3577"/>
    <w:rsid w:val="000F5083"/>
    <w:rsid w:val="001005C6"/>
    <w:rsid w:val="00102229"/>
    <w:rsid w:val="0010442B"/>
    <w:rsid w:val="00110301"/>
    <w:rsid w:val="00116E15"/>
    <w:rsid w:val="00120DF1"/>
    <w:rsid w:val="001232B0"/>
    <w:rsid w:val="00124C71"/>
    <w:rsid w:val="00150EBA"/>
    <w:rsid w:val="00152CB6"/>
    <w:rsid w:val="001716DA"/>
    <w:rsid w:val="00190A61"/>
    <w:rsid w:val="001A13BF"/>
    <w:rsid w:val="001A5370"/>
    <w:rsid w:val="001D6D02"/>
    <w:rsid w:val="001F080C"/>
    <w:rsid w:val="00202123"/>
    <w:rsid w:val="0020554C"/>
    <w:rsid w:val="002129AA"/>
    <w:rsid w:val="00214429"/>
    <w:rsid w:val="0022262F"/>
    <w:rsid w:val="002307D4"/>
    <w:rsid w:val="0023339E"/>
    <w:rsid w:val="00233F19"/>
    <w:rsid w:val="00237B42"/>
    <w:rsid w:val="0024042C"/>
    <w:rsid w:val="0024074C"/>
    <w:rsid w:val="002525CE"/>
    <w:rsid w:val="00254BB5"/>
    <w:rsid w:val="00254EE7"/>
    <w:rsid w:val="00257033"/>
    <w:rsid w:val="00260A9E"/>
    <w:rsid w:val="00265736"/>
    <w:rsid w:val="00283D80"/>
    <w:rsid w:val="0028527E"/>
    <w:rsid w:val="002919B2"/>
    <w:rsid w:val="002B69F3"/>
    <w:rsid w:val="002C0F6C"/>
    <w:rsid w:val="002D50C2"/>
    <w:rsid w:val="002D7102"/>
    <w:rsid w:val="002E0EDD"/>
    <w:rsid w:val="002E1CA9"/>
    <w:rsid w:val="002E7202"/>
    <w:rsid w:val="002F0DFD"/>
    <w:rsid w:val="002F287A"/>
    <w:rsid w:val="002F2D9F"/>
    <w:rsid w:val="002F6867"/>
    <w:rsid w:val="002F705E"/>
    <w:rsid w:val="00300AAE"/>
    <w:rsid w:val="003014AD"/>
    <w:rsid w:val="00313B0F"/>
    <w:rsid w:val="0033001B"/>
    <w:rsid w:val="003342E4"/>
    <w:rsid w:val="00335BE8"/>
    <w:rsid w:val="003418B4"/>
    <w:rsid w:val="00344500"/>
    <w:rsid w:val="00356471"/>
    <w:rsid w:val="00357C4A"/>
    <w:rsid w:val="00357DF1"/>
    <w:rsid w:val="00375AAF"/>
    <w:rsid w:val="0038475C"/>
    <w:rsid w:val="003903C9"/>
    <w:rsid w:val="0039290C"/>
    <w:rsid w:val="003A08B3"/>
    <w:rsid w:val="003B0A90"/>
    <w:rsid w:val="003C1762"/>
    <w:rsid w:val="003C426B"/>
    <w:rsid w:val="003D041F"/>
    <w:rsid w:val="003D7693"/>
    <w:rsid w:val="003E25AA"/>
    <w:rsid w:val="003E5570"/>
    <w:rsid w:val="003F3ECB"/>
    <w:rsid w:val="003F3ED5"/>
    <w:rsid w:val="003F53C9"/>
    <w:rsid w:val="00414643"/>
    <w:rsid w:val="00423038"/>
    <w:rsid w:val="00427D61"/>
    <w:rsid w:val="00431DA8"/>
    <w:rsid w:val="00445730"/>
    <w:rsid w:val="00457E6A"/>
    <w:rsid w:val="0046193A"/>
    <w:rsid w:val="00463732"/>
    <w:rsid w:val="0047382E"/>
    <w:rsid w:val="00492A21"/>
    <w:rsid w:val="004A05AD"/>
    <w:rsid w:val="004B2528"/>
    <w:rsid w:val="004D038B"/>
    <w:rsid w:val="004D2C8F"/>
    <w:rsid w:val="004D612F"/>
    <w:rsid w:val="004D68B0"/>
    <w:rsid w:val="004E3C54"/>
    <w:rsid w:val="004E75CE"/>
    <w:rsid w:val="004F7F97"/>
    <w:rsid w:val="00503508"/>
    <w:rsid w:val="00512CF7"/>
    <w:rsid w:val="00514FC4"/>
    <w:rsid w:val="00520F0D"/>
    <w:rsid w:val="00525A8B"/>
    <w:rsid w:val="00527EBF"/>
    <w:rsid w:val="005345A3"/>
    <w:rsid w:val="00535001"/>
    <w:rsid w:val="005372B8"/>
    <w:rsid w:val="00543313"/>
    <w:rsid w:val="00551222"/>
    <w:rsid w:val="00557B7B"/>
    <w:rsid w:val="00567968"/>
    <w:rsid w:val="005724CA"/>
    <w:rsid w:val="00574A17"/>
    <w:rsid w:val="005778AB"/>
    <w:rsid w:val="005805DD"/>
    <w:rsid w:val="00583D47"/>
    <w:rsid w:val="00584C53"/>
    <w:rsid w:val="00595FC7"/>
    <w:rsid w:val="00597DC6"/>
    <w:rsid w:val="005B0BE5"/>
    <w:rsid w:val="005B3012"/>
    <w:rsid w:val="005B31E1"/>
    <w:rsid w:val="005B4620"/>
    <w:rsid w:val="005C0FCF"/>
    <w:rsid w:val="005C2767"/>
    <w:rsid w:val="005C482C"/>
    <w:rsid w:val="005D32B2"/>
    <w:rsid w:val="005D51B7"/>
    <w:rsid w:val="005D5DDC"/>
    <w:rsid w:val="005D63D2"/>
    <w:rsid w:val="00600D6C"/>
    <w:rsid w:val="006048DD"/>
    <w:rsid w:val="006071AB"/>
    <w:rsid w:val="0061310F"/>
    <w:rsid w:val="0061623B"/>
    <w:rsid w:val="00620C7F"/>
    <w:rsid w:val="006239D3"/>
    <w:rsid w:val="00630EF8"/>
    <w:rsid w:val="00634724"/>
    <w:rsid w:val="00652BD0"/>
    <w:rsid w:val="00682590"/>
    <w:rsid w:val="00696833"/>
    <w:rsid w:val="006A3315"/>
    <w:rsid w:val="006B0A7A"/>
    <w:rsid w:val="006B289B"/>
    <w:rsid w:val="006B5732"/>
    <w:rsid w:val="006C011E"/>
    <w:rsid w:val="006C24AF"/>
    <w:rsid w:val="006C27A7"/>
    <w:rsid w:val="006C28B5"/>
    <w:rsid w:val="006D2EA4"/>
    <w:rsid w:val="006D4307"/>
    <w:rsid w:val="006E262E"/>
    <w:rsid w:val="006E6D20"/>
    <w:rsid w:val="006E7588"/>
    <w:rsid w:val="007008B9"/>
    <w:rsid w:val="00714A5C"/>
    <w:rsid w:val="007179BA"/>
    <w:rsid w:val="00717CA5"/>
    <w:rsid w:val="00724E7D"/>
    <w:rsid w:val="00752081"/>
    <w:rsid w:val="00753764"/>
    <w:rsid w:val="00753D7E"/>
    <w:rsid w:val="0076579F"/>
    <w:rsid w:val="00771184"/>
    <w:rsid w:val="00773FBD"/>
    <w:rsid w:val="00781F10"/>
    <w:rsid w:val="007922D1"/>
    <w:rsid w:val="007A2EC7"/>
    <w:rsid w:val="007A3AC3"/>
    <w:rsid w:val="007A4B6D"/>
    <w:rsid w:val="007A4EA9"/>
    <w:rsid w:val="007B1BD5"/>
    <w:rsid w:val="007C24E7"/>
    <w:rsid w:val="007D4BE4"/>
    <w:rsid w:val="007E2723"/>
    <w:rsid w:val="007E313D"/>
    <w:rsid w:val="007E5ACD"/>
    <w:rsid w:val="007F4DD3"/>
    <w:rsid w:val="007F7002"/>
    <w:rsid w:val="008131AC"/>
    <w:rsid w:val="008153CE"/>
    <w:rsid w:val="008232EA"/>
    <w:rsid w:val="00823F26"/>
    <w:rsid w:val="0082630E"/>
    <w:rsid w:val="00826705"/>
    <w:rsid w:val="008309DC"/>
    <w:rsid w:val="0083228B"/>
    <w:rsid w:val="008326B1"/>
    <w:rsid w:val="0085112C"/>
    <w:rsid w:val="00863FD9"/>
    <w:rsid w:val="00886810"/>
    <w:rsid w:val="008958C8"/>
    <w:rsid w:val="008965F3"/>
    <w:rsid w:val="008A53BC"/>
    <w:rsid w:val="008A7255"/>
    <w:rsid w:val="008A7B78"/>
    <w:rsid w:val="008B343E"/>
    <w:rsid w:val="008B4055"/>
    <w:rsid w:val="008D2F28"/>
    <w:rsid w:val="008D5F73"/>
    <w:rsid w:val="008F1306"/>
    <w:rsid w:val="008F2D47"/>
    <w:rsid w:val="008F6A96"/>
    <w:rsid w:val="0090069E"/>
    <w:rsid w:val="009220F1"/>
    <w:rsid w:val="00932049"/>
    <w:rsid w:val="00937E96"/>
    <w:rsid w:val="00941081"/>
    <w:rsid w:val="00945F3D"/>
    <w:rsid w:val="0096004B"/>
    <w:rsid w:val="00960377"/>
    <w:rsid w:val="0096143B"/>
    <w:rsid w:val="00973BD2"/>
    <w:rsid w:val="00990743"/>
    <w:rsid w:val="009963B0"/>
    <w:rsid w:val="00996D14"/>
    <w:rsid w:val="009B5A00"/>
    <w:rsid w:val="009C34F2"/>
    <w:rsid w:val="009C7F9C"/>
    <w:rsid w:val="009D3398"/>
    <w:rsid w:val="009D5CEE"/>
    <w:rsid w:val="009D77C5"/>
    <w:rsid w:val="009E42F0"/>
    <w:rsid w:val="009E5776"/>
    <w:rsid w:val="009F6D04"/>
    <w:rsid w:val="009F6EC9"/>
    <w:rsid w:val="00A01DDB"/>
    <w:rsid w:val="00A41283"/>
    <w:rsid w:val="00A5233A"/>
    <w:rsid w:val="00A55838"/>
    <w:rsid w:val="00A623E2"/>
    <w:rsid w:val="00A733EB"/>
    <w:rsid w:val="00A75E8F"/>
    <w:rsid w:val="00A848B2"/>
    <w:rsid w:val="00A94DEB"/>
    <w:rsid w:val="00AB08CC"/>
    <w:rsid w:val="00AB2AC0"/>
    <w:rsid w:val="00AB77B9"/>
    <w:rsid w:val="00AC6F53"/>
    <w:rsid w:val="00AC7ECC"/>
    <w:rsid w:val="00AD15F8"/>
    <w:rsid w:val="00AD1F92"/>
    <w:rsid w:val="00AD4DAD"/>
    <w:rsid w:val="00AE1100"/>
    <w:rsid w:val="00AE1315"/>
    <w:rsid w:val="00AE1E16"/>
    <w:rsid w:val="00AF10B7"/>
    <w:rsid w:val="00B022BE"/>
    <w:rsid w:val="00B067CF"/>
    <w:rsid w:val="00B07AB4"/>
    <w:rsid w:val="00B10EC9"/>
    <w:rsid w:val="00B113E3"/>
    <w:rsid w:val="00B3053A"/>
    <w:rsid w:val="00B37137"/>
    <w:rsid w:val="00B4193D"/>
    <w:rsid w:val="00B41DB7"/>
    <w:rsid w:val="00B421C2"/>
    <w:rsid w:val="00B4316B"/>
    <w:rsid w:val="00B44D20"/>
    <w:rsid w:val="00B56E88"/>
    <w:rsid w:val="00B70C05"/>
    <w:rsid w:val="00B75337"/>
    <w:rsid w:val="00B94340"/>
    <w:rsid w:val="00B9765F"/>
    <w:rsid w:val="00B976D6"/>
    <w:rsid w:val="00BA7F82"/>
    <w:rsid w:val="00BB101D"/>
    <w:rsid w:val="00BB2765"/>
    <w:rsid w:val="00BB52C8"/>
    <w:rsid w:val="00BC4851"/>
    <w:rsid w:val="00BC6322"/>
    <w:rsid w:val="00BC6D0E"/>
    <w:rsid w:val="00BD2E88"/>
    <w:rsid w:val="00BD730F"/>
    <w:rsid w:val="00BE72D8"/>
    <w:rsid w:val="00BF1F23"/>
    <w:rsid w:val="00C03FD3"/>
    <w:rsid w:val="00C05D8C"/>
    <w:rsid w:val="00C306BE"/>
    <w:rsid w:val="00C351EA"/>
    <w:rsid w:val="00C56097"/>
    <w:rsid w:val="00C624BF"/>
    <w:rsid w:val="00C829DC"/>
    <w:rsid w:val="00C8401B"/>
    <w:rsid w:val="00C92E5D"/>
    <w:rsid w:val="00CC12EE"/>
    <w:rsid w:val="00CC6A20"/>
    <w:rsid w:val="00CC7E63"/>
    <w:rsid w:val="00CD00E6"/>
    <w:rsid w:val="00CD302F"/>
    <w:rsid w:val="00CE00CD"/>
    <w:rsid w:val="00CE0133"/>
    <w:rsid w:val="00CE1DEF"/>
    <w:rsid w:val="00CF2297"/>
    <w:rsid w:val="00CF35EC"/>
    <w:rsid w:val="00CF3F8C"/>
    <w:rsid w:val="00D02BA0"/>
    <w:rsid w:val="00D07931"/>
    <w:rsid w:val="00D16592"/>
    <w:rsid w:val="00D25FF9"/>
    <w:rsid w:val="00D41716"/>
    <w:rsid w:val="00D63FAD"/>
    <w:rsid w:val="00D64CF2"/>
    <w:rsid w:val="00D6784C"/>
    <w:rsid w:val="00D70EA0"/>
    <w:rsid w:val="00D711CC"/>
    <w:rsid w:val="00D85AF7"/>
    <w:rsid w:val="00D873D2"/>
    <w:rsid w:val="00D908C4"/>
    <w:rsid w:val="00DA01F5"/>
    <w:rsid w:val="00DB2F46"/>
    <w:rsid w:val="00DC0524"/>
    <w:rsid w:val="00DC14D7"/>
    <w:rsid w:val="00DE178B"/>
    <w:rsid w:val="00DE5CCA"/>
    <w:rsid w:val="00DF05ED"/>
    <w:rsid w:val="00E11566"/>
    <w:rsid w:val="00E15FAD"/>
    <w:rsid w:val="00E3738E"/>
    <w:rsid w:val="00E40044"/>
    <w:rsid w:val="00E40B2D"/>
    <w:rsid w:val="00E44FB3"/>
    <w:rsid w:val="00E52586"/>
    <w:rsid w:val="00E607C8"/>
    <w:rsid w:val="00E633A2"/>
    <w:rsid w:val="00E64851"/>
    <w:rsid w:val="00E73040"/>
    <w:rsid w:val="00E849DB"/>
    <w:rsid w:val="00E901F2"/>
    <w:rsid w:val="00E91888"/>
    <w:rsid w:val="00EA5C1D"/>
    <w:rsid w:val="00EB3520"/>
    <w:rsid w:val="00EB4BD8"/>
    <w:rsid w:val="00EB550F"/>
    <w:rsid w:val="00EB581C"/>
    <w:rsid w:val="00EB6BC3"/>
    <w:rsid w:val="00EC5947"/>
    <w:rsid w:val="00EE1FAD"/>
    <w:rsid w:val="00EE4DE7"/>
    <w:rsid w:val="00EF07B2"/>
    <w:rsid w:val="00F01CE2"/>
    <w:rsid w:val="00F035EA"/>
    <w:rsid w:val="00F07EF7"/>
    <w:rsid w:val="00F1333C"/>
    <w:rsid w:val="00F31279"/>
    <w:rsid w:val="00F33D72"/>
    <w:rsid w:val="00F404F4"/>
    <w:rsid w:val="00F44913"/>
    <w:rsid w:val="00F6441A"/>
    <w:rsid w:val="00F71060"/>
    <w:rsid w:val="00F8705D"/>
    <w:rsid w:val="00F93066"/>
    <w:rsid w:val="00F946DD"/>
    <w:rsid w:val="00F95B40"/>
    <w:rsid w:val="00F97C1A"/>
    <w:rsid w:val="00FA0B14"/>
    <w:rsid w:val="00FA3699"/>
    <w:rsid w:val="00FB6EF1"/>
    <w:rsid w:val="00FC0B4C"/>
    <w:rsid w:val="00FD3B0D"/>
    <w:rsid w:val="00FD7181"/>
    <w:rsid w:val="00FD76CF"/>
    <w:rsid w:val="00FE1264"/>
    <w:rsid w:val="00FE248D"/>
    <w:rsid w:val="00FE3EEE"/>
    <w:rsid w:val="00FF3421"/>
    <w:rsid w:val="00FF4AA2"/>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FD224"/>
  <w15:chartTrackingRefBased/>
  <w15:docId w15:val="{4DF9BB0A-8B0A-424B-BA00-2480091E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E63"/>
    <w:pPr>
      <w:ind w:left="720"/>
      <w:contextualSpacing/>
    </w:pPr>
  </w:style>
  <w:style w:type="paragraph" w:styleId="BalloonText">
    <w:name w:val="Balloon Text"/>
    <w:basedOn w:val="Normal"/>
    <w:link w:val="BalloonTextChar"/>
    <w:uiPriority w:val="99"/>
    <w:semiHidden/>
    <w:unhideWhenUsed/>
    <w:rsid w:val="00A848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8B2"/>
    <w:rPr>
      <w:rFonts w:ascii="Segoe UI" w:hAnsi="Segoe UI" w:cs="Segoe UI"/>
      <w:sz w:val="18"/>
      <w:szCs w:val="18"/>
    </w:rPr>
  </w:style>
  <w:style w:type="paragraph" w:customStyle="1" w:styleId="Default">
    <w:name w:val="Default"/>
    <w:rsid w:val="00600D6C"/>
    <w:pPr>
      <w:autoSpaceDE w:val="0"/>
      <w:autoSpaceDN w:val="0"/>
      <w:adjustRightInd w:val="0"/>
      <w:spacing w:after="0" w:line="240" w:lineRule="auto"/>
    </w:pPr>
    <w:rPr>
      <w:rFonts w:cs="Times New Roman"/>
      <w:color w:val="000000"/>
      <w:szCs w:val="24"/>
      <w:lang w:val="lt-LT"/>
    </w:rPr>
  </w:style>
  <w:style w:type="character" w:styleId="CommentReference">
    <w:name w:val="annotation reference"/>
    <w:basedOn w:val="DefaultParagraphFont"/>
    <w:uiPriority w:val="99"/>
    <w:semiHidden/>
    <w:unhideWhenUsed/>
    <w:rsid w:val="007A3AC3"/>
    <w:rPr>
      <w:sz w:val="16"/>
      <w:szCs w:val="16"/>
    </w:rPr>
  </w:style>
  <w:style w:type="paragraph" w:styleId="CommentText">
    <w:name w:val="annotation text"/>
    <w:basedOn w:val="Normal"/>
    <w:link w:val="CommentTextChar"/>
    <w:uiPriority w:val="99"/>
    <w:semiHidden/>
    <w:unhideWhenUsed/>
    <w:rsid w:val="007A3AC3"/>
    <w:pPr>
      <w:spacing w:line="240" w:lineRule="auto"/>
    </w:pPr>
    <w:rPr>
      <w:sz w:val="20"/>
      <w:szCs w:val="20"/>
    </w:rPr>
  </w:style>
  <w:style w:type="character" w:customStyle="1" w:styleId="CommentTextChar">
    <w:name w:val="Comment Text Char"/>
    <w:basedOn w:val="DefaultParagraphFont"/>
    <w:link w:val="CommentText"/>
    <w:uiPriority w:val="99"/>
    <w:semiHidden/>
    <w:rsid w:val="007A3AC3"/>
    <w:rPr>
      <w:sz w:val="20"/>
      <w:szCs w:val="20"/>
    </w:rPr>
  </w:style>
  <w:style w:type="paragraph" w:styleId="CommentSubject">
    <w:name w:val="annotation subject"/>
    <w:basedOn w:val="CommentText"/>
    <w:next w:val="CommentText"/>
    <w:link w:val="CommentSubjectChar"/>
    <w:uiPriority w:val="99"/>
    <w:semiHidden/>
    <w:unhideWhenUsed/>
    <w:rsid w:val="007A3AC3"/>
    <w:rPr>
      <w:b/>
      <w:bCs/>
    </w:rPr>
  </w:style>
  <w:style w:type="character" w:customStyle="1" w:styleId="CommentSubjectChar">
    <w:name w:val="Comment Subject Char"/>
    <w:basedOn w:val="CommentTextChar"/>
    <w:link w:val="CommentSubject"/>
    <w:uiPriority w:val="99"/>
    <w:semiHidden/>
    <w:rsid w:val="007A3AC3"/>
    <w:rPr>
      <w:b/>
      <w:bCs/>
      <w:sz w:val="20"/>
      <w:szCs w:val="20"/>
    </w:rPr>
  </w:style>
  <w:style w:type="paragraph" w:styleId="FootnoteText">
    <w:name w:val="footnote text"/>
    <w:basedOn w:val="Normal"/>
    <w:link w:val="FootnoteTextChar"/>
    <w:uiPriority w:val="99"/>
    <w:semiHidden/>
    <w:unhideWhenUsed/>
    <w:rsid w:val="002307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07D4"/>
    <w:rPr>
      <w:sz w:val="20"/>
      <w:szCs w:val="20"/>
    </w:rPr>
  </w:style>
  <w:style w:type="character" w:styleId="FootnoteReference">
    <w:name w:val="footnote reference"/>
    <w:basedOn w:val="DefaultParagraphFont"/>
    <w:uiPriority w:val="99"/>
    <w:semiHidden/>
    <w:unhideWhenUsed/>
    <w:rsid w:val="002307D4"/>
    <w:rPr>
      <w:vertAlign w:val="superscript"/>
    </w:rPr>
  </w:style>
  <w:style w:type="character" w:styleId="Hyperlink">
    <w:name w:val="Hyperlink"/>
    <w:basedOn w:val="DefaultParagraphFont"/>
    <w:uiPriority w:val="99"/>
    <w:unhideWhenUsed/>
    <w:rsid w:val="00BC6D0E"/>
    <w:rPr>
      <w:color w:val="0563C1" w:themeColor="hyperlink"/>
      <w:u w:val="single"/>
    </w:rPr>
  </w:style>
  <w:style w:type="character" w:customStyle="1" w:styleId="UnresolvedMention1">
    <w:name w:val="Unresolved Mention1"/>
    <w:basedOn w:val="DefaultParagraphFont"/>
    <w:uiPriority w:val="99"/>
    <w:semiHidden/>
    <w:unhideWhenUsed/>
    <w:rsid w:val="00BC6D0E"/>
    <w:rPr>
      <w:color w:val="605E5C"/>
      <w:shd w:val="clear" w:color="auto" w:fill="E1DFDD"/>
    </w:rPr>
  </w:style>
  <w:style w:type="paragraph" w:customStyle="1" w:styleId="p1">
    <w:name w:val="p1"/>
    <w:basedOn w:val="Normal"/>
    <w:rsid w:val="00CC12EE"/>
    <w:pPr>
      <w:spacing w:before="100" w:beforeAutospacing="1" w:after="100" w:afterAutospacing="1" w:line="240" w:lineRule="auto"/>
    </w:pPr>
    <w:rPr>
      <w:rFonts w:eastAsia="Times New Roman" w:cs="Times New Roman"/>
      <w:szCs w:val="24"/>
      <w:lang w:val="lt-LT" w:eastAsia="lt-LT"/>
    </w:rPr>
  </w:style>
  <w:style w:type="character" w:customStyle="1" w:styleId="s1">
    <w:name w:val="s1"/>
    <w:basedOn w:val="DefaultParagraphFont"/>
    <w:rsid w:val="00CC12EE"/>
  </w:style>
  <w:style w:type="paragraph" w:styleId="NormalWeb">
    <w:name w:val="Normal (Web)"/>
    <w:basedOn w:val="Normal"/>
    <w:uiPriority w:val="99"/>
    <w:semiHidden/>
    <w:unhideWhenUsed/>
    <w:rsid w:val="00CC12EE"/>
    <w:pPr>
      <w:spacing w:before="100" w:beforeAutospacing="1" w:after="100" w:afterAutospacing="1" w:line="240" w:lineRule="auto"/>
    </w:pPr>
    <w:rPr>
      <w:rFonts w:eastAsia="Times New Roman" w:cs="Times New Roman"/>
      <w:szCs w:val="24"/>
      <w:lang w:val="lt-LT" w:eastAsia="lt-LT"/>
    </w:rPr>
  </w:style>
  <w:style w:type="paragraph" w:customStyle="1" w:styleId="p3">
    <w:name w:val="p3"/>
    <w:basedOn w:val="Normal"/>
    <w:rsid w:val="00CC12EE"/>
    <w:pPr>
      <w:spacing w:before="100" w:beforeAutospacing="1" w:after="100" w:afterAutospacing="1" w:line="240" w:lineRule="auto"/>
    </w:pPr>
    <w:rPr>
      <w:rFonts w:eastAsia="Times New Roman" w:cs="Times New Roman"/>
      <w:szCs w:val="24"/>
      <w:lang w:val="lt-LT" w:eastAsia="lt-LT"/>
    </w:rPr>
  </w:style>
  <w:style w:type="paragraph" w:customStyle="1" w:styleId="li4">
    <w:name w:val="li4"/>
    <w:basedOn w:val="Normal"/>
    <w:rsid w:val="00CC12EE"/>
    <w:pPr>
      <w:spacing w:before="100" w:beforeAutospacing="1" w:after="100" w:afterAutospacing="1" w:line="240" w:lineRule="auto"/>
    </w:pPr>
    <w:rPr>
      <w:rFonts w:eastAsia="Times New Roman" w:cs="Times New Roman"/>
      <w:szCs w:val="24"/>
      <w:lang w:val="lt-LT" w:eastAsia="lt-LT"/>
    </w:rPr>
  </w:style>
  <w:style w:type="paragraph" w:customStyle="1" w:styleId="p8">
    <w:name w:val="p8"/>
    <w:basedOn w:val="Normal"/>
    <w:rsid w:val="00CC12EE"/>
    <w:pPr>
      <w:spacing w:before="100" w:beforeAutospacing="1" w:after="100" w:afterAutospacing="1" w:line="240" w:lineRule="auto"/>
    </w:pPr>
    <w:rPr>
      <w:rFonts w:eastAsia="Times New Roman" w:cs="Times New Roman"/>
      <w:szCs w:val="24"/>
      <w:lang w:val="lt-LT" w:eastAsia="lt-LT"/>
    </w:rPr>
  </w:style>
  <w:style w:type="paragraph" w:styleId="PlainText">
    <w:name w:val="Plain Text"/>
    <w:basedOn w:val="Normal"/>
    <w:link w:val="PlainTextChar"/>
    <w:uiPriority w:val="99"/>
    <w:semiHidden/>
    <w:unhideWhenUsed/>
    <w:rsid w:val="00B75337"/>
    <w:pPr>
      <w:spacing w:after="0" w:line="240" w:lineRule="auto"/>
    </w:pPr>
    <w:rPr>
      <w:rFonts w:ascii="Calibri" w:eastAsia="Times New Roman" w:hAnsi="Calibri"/>
      <w:kern w:val="2"/>
      <w:sz w:val="22"/>
      <w:szCs w:val="21"/>
      <w:lang w:val="lt-LT"/>
      <w14:ligatures w14:val="standardContextual"/>
    </w:rPr>
  </w:style>
  <w:style w:type="character" w:customStyle="1" w:styleId="PlainTextChar">
    <w:name w:val="Plain Text Char"/>
    <w:basedOn w:val="DefaultParagraphFont"/>
    <w:link w:val="PlainText"/>
    <w:uiPriority w:val="99"/>
    <w:semiHidden/>
    <w:rsid w:val="00B75337"/>
    <w:rPr>
      <w:rFonts w:ascii="Calibri" w:eastAsia="Times New Roman" w:hAnsi="Calibri"/>
      <w:kern w:val="2"/>
      <w:sz w:val="22"/>
      <w:szCs w:val="21"/>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08353">
      <w:bodyDiv w:val="1"/>
      <w:marLeft w:val="0"/>
      <w:marRight w:val="0"/>
      <w:marTop w:val="0"/>
      <w:marBottom w:val="0"/>
      <w:divBdr>
        <w:top w:val="none" w:sz="0" w:space="0" w:color="auto"/>
        <w:left w:val="none" w:sz="0" w:space="0" w:color="auto"/>
        <w:bottom w:val="none" w:sz="0" w:space="0" w:color="auto"/>
        <w:right w:val="none" w:sz="0" w:space="0" w:color="auto"/>
      </w:divBdr>
      <w:divsChild>
        <w:div w:id="1089693951">
          <w:marLeft w:val="0"/>
          <w:marRight w:val="0"/>
          <w:marTop w:val="0"/>
          <w:marBottom w:val="0"/>
          <w:divBdr>
            <w:top w:val="none" w:sz="0" w:space="0" w:color="auto"/>
            <w:left w:val="none" w:sz="0" w:space="0" w:color="auto"/>
            <w:bottom w:val="none" w:sz="0" w:space="0" w:color="auto"/>
            <w:right w:val="none" w:sz="0" w:space="0" w:color="auto"/>
          </w:divBdr>
        </w:div>
      </w:divsChild>
    </w:div>
    <w:div w:id="1086076587">
      <w:bodyDiv w:val="1"/>
      <w:marLeft w:val="0"/>
      <w:marRight w:val="0"/>
      <w:marTop w:val="0"/>
      <w:marBottom w:val="0"/>
      <w:divBdr>
        <w:top w:val="none" w:sz="0" w:space="0" w:color="auto"/>
        <w:left w:val="none" w:sz="0" w:space="0" w:color="auto"/>
        <w:bottom w:val="none" w:sz="0" w:space="0" w:color="auto"/>
        <w:right w:val="none" w:sz="0" w:space="0" w:color="auto"/>
      </w:divBdr>
      <w:divsChild>
        <w:div w:id="974024788">
          <w:marLeft w:val="0"/>
          <w:marRight w:val="0"/>
          <w:marTop w:val="0"/>
          <w:marBottom w:val="0"/>
          <w:divBdr>
            <w:top w:val="none" w:sz="0" w:space="0" w:color="auto"/>
            <w:left w:val="none" w:sz="0" w:space="0" w:color="auto"/>
            <w:bottom w:val="none" w:sz="0" w:space="0" w:color="auto"/>
            <w:right w:val="none" w:sz="0" w:space="0" w:color="auto"/>
          </w:divBdr>
          <w:divsChild>
            <w:div w:id="2109420282">
              <w:marLeft w:val="0"/>
              <w:marRight w:val="0"/>
              <w:marTop w:val="0"/>
              <w:marBottom w:val="0"/>
              <w:divBdr>
                <w:top w:val="none" w:sz="0" w:space="0" w:color="auto"/>
                <w:left w:val="none" w:sz="0" w:space="0" w:color="auto"/>
                <w:bottom w:val="none" w:sz="0" w:space="0" w:color="auto"/>
                <w:right w:val="none" w:sz="0" w:space="0" w:color="auto"/>
              </w:divBdr>
            </w:div>
          </w:divsChild>
        </w:div>
        <w:div w:id="1071385953">
          <w:marLeft w:val="0"/>
          <w:marRight w:val="0"/>
          <w:marTop w:val="0"/>
          <w:marBottom w:val="0"/>
          <w:divBdr>
            <w:top w:val="none" w:sz="0" w:space="0" w:color="auto"/>
            <w:left w:val="none" w:sz="0" w:space="0" w:color="auto"/>
            <w:bottom w:val="none" w:sz="0" w:space="0" w:color="auto"/>
            <w:right w:val="none" w:sz="0" w:space="0" w:color="auto"/>
          </w:divBdr>
          <w:divsChild>
            <w:div w:id="579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5314">
      <w:bodyDiv w:val="1"/>
      <w:marLeft w:val="0"/>
      <w:marRight w:val="0"/>
      <w:marTop w:val="0"/>
      <w:marBottom w:val="0"/>
      <w:divBdr>
        <w:top w:val="none" w:sz="0" w:space="0" w:color="auto"/>
        <w:left w:val="none" w:sz="0" w:space="0" w:color="auto"/>
        <w:bottom w:val="none" w:sz="0" w:space="0" w:color="auto"/>
        <w:right w:val="none" w:sz="0" w:space="0" w:color="auto"/>
      </w:divBdr>
    </w:div>
    <w:div w:id="1482773378">
      <w:bodyDiv w:val="1"/>
      <w:marLeft w:val="0"/>
      <w:marRight w:val="0"/>
      <w:marTop w:val="0"/>
      <w:marBottom w:val="0"/>
      <w:divBdr>
        <w:top w:val="none" w:sz="0" w:space="0" w:color="auto"/>
        <w:left w:val="none" w:sz="0" w:space="0" w:color="auto"/>
        <w:bottom w:val="none" w:sz="0" w:space="0" w:color="auto"/>
        <w:right w:val="none" w:sz="0" w:space="0" w:color="auto"/>
      </w:divBdr>
      <w:divsChild>
        <w:div w:id="52241783">
          <w:marLeft w:val="0"/>
          <w:marRight w:val="0"/>
          <w:marTop w:val="0"/>
          <w:marBottom w:val="0"/>
          <w:divBdr>
            <w:top w:val="none" w:sz="0" w:space="0" w:color="auto"/>
            <w:left w:val="none" w:sz="0" w:space="0" w:color="auto"/>
            <w:bottom w:val="none" w:sz="0" w:space="0" w:color="auto"/>
            <w:right w:val="none" w:sz="0" w:space="0" w:color="auto"/>
          </w:divBdr>
          <w:divsChild>
            <w:div w:id="1074232575">
              <w:marLeft w:val="0"/>
              <w:marRight w:val="0"/>
              <w:marTop w:val="0"/>
              <w:marBottom w:val="0"/>
              <w:divBdr>
                <w:top w:val="none" w:sz="0" w:space="0" w:color="auto"/>
                <w:left w:val="none" w:sz="0" w:space="0" w:color="auto"/>
                <w:bottom w:val="none" w:sz="0" w:space="0" w:color="auto"/>
                <w:right w:val="none" w:sz="0" w:space="0" w:color="auto"/>
              </w:divBdr>
              <w:divsChild>
                <w:div w:id="955211507">
                  <w:marLeft w:val="0"/>
                  <w:marRight w:val="0"/>
                  <w:marTop w:val="0"/>
                  <w:marBottom w:val="0"/>
                  <w:divBdr>
                    <w:top w:val="none" w:sz="0" w:space="0" w:color="auto"/>
                    <w:left w:val="none" w:sz="0" w:space="0" w:color="auto"/>
                    <w:bottom w:val="none" w:sz="0" w:space="0" w:color="auto"/>
                    <w:right w:val="none" w:sz="0" w:space="0" w:color="auto"/>
                  </w:divBdr>
                  <w:divsChild>
                    <w:div w:id="1779179697">
                      <w:marLeft w:val="0"/>
                      <w:marRight w:val="0"/>
                      <w:marTop w:val="0"/>
                      <w:marBottom w:val="0"/>
                      <w:divBdr>
                        <w:top w:val="none" w:sz="0" w:space="0" w:color="auto"/>
                        <w:left w:val="none" w:sz="0" w:space="0" w:color="auto"/>
                        <w:bottom w:val="none" w:sz="0" w:space="0" w:color="auto"/>
                        <w:right w:val="none" w:sz="0" w:space="0" w:color="auto"/>
                      </w:divBdr>
                      <w:divsChild>
                        <w:div w:id="821193811">
                          <w:marLeft w:val="0"/>
                          <w:marRight w:val="0"/>
                          <w:marTop w:val="0"/>
                          <w:marBottom w:val="0"/>
                          <w:divBdr>
                            <w:top w:val="none" w:sz="0" w:space="0" w:color="auto"/>
                            <w:left w:val="none" w:sz="0" w:space="0" w:color="auto"/>
                            <w:bottom w:val="none" w:sz="0" w:space="0" w:color="auto"/>
                            <w:right w:val="none" w:sz="0" w:space="0" w:color="auto"/>
                          </w:divBdr>
                        </w:div>
                        <w:div w:id="1479614534">
                          <w:marLeft w:val="0"/>
                          <w:marRight w:val="0"/>
                          <w:marTop w:val="0"/>
                          <w:marBottom w:val="0"/>
                          <w:divBdr>
                            <w:top w:val="none" w:sz="0" w:space="0" w:color="auto"/>
                            <w:left w:val="none" w:sz="0" w:space="0" w:color="auto"/>
                            <w:bottom w:val="none" w:sz="0" w:space="0" w:color="auto"/>
                            <w:right w:val="none" w:sz="0" w:space="0" w:color="auto"/>
                          </w:divBdr>
                        </w:div>
                        <w:div w:id="101577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950474">
      <w:bodyDiv w:val="1"/>
      <w:marLeft w:val="0"/>
      <w:marRight w:val="0"/>
      <w:marTop w:val="0"/>
      <w:marBottom w:val="0"/>
      <w:divBdr>
        <w:top w:val="none" w:sz="0" w:space="0" w:color="auto"/>
        <w:left w:val="none" w:sz="0" w:space="0" w:color="auto"/>
        <w:bottom w:val="none" w:sz="0" w:space="0" w:color="auto"/>
        <w:right w:val="none" w:sz="0" w:space="0" w:color="auto"/>
      </w:divBdr>
      <w:divsChild>
        <w:div w:id="1624533892">
          <w:marLeft w:val="0"/>
          <w:marRight w:val="0"/>
          <w:marTop w:val="0"/>
          <w:marBottom w:val="0"/>
          <w:divBdr>
            <w:top w:val="none" w:sz="0" w:space="0" w:color="auto"/>
            <w:left w:val="none" w:sz="0" w:space="0" w:color="auto"/>
            <w:bottom w:val="none" w:sz="0" w:space="0" w:color="auto"/>
            <w:right w:val="none" w:sz="0" w:space="0" w:color="auto"/>
          </w:divBdr>
          <w:divsChild>
            <w:div w:id="299268824">
              <w:marLeft w:val="0"/>
              <w:marRight w:val="0"/>
              <w:marTop w:val="0"/>
              <w:marBottom w:val="0"/>
              <w:divBdr>
                <w:top w:val="none" w:sz="0" w:space="0" w:color="auto"/>
                <w:left w:val="none" w:sz="0" w:space="0" w:color="auto"/>
                <w:bottom w:val="none" w:sz="0" w:space="0" w:color="auto"/>
                <w:right w:val="none" w:sz="0" w:space="0" w:color="auto"/>
              </w:divBdr>
              <w:divsChild>
                <w:div w:id="1626891008">
                  <w:marLeft w:val="0"/>
                  <w:marRight w:val="0"/>
                  <w:marTop w:val="0"/>
                  <w:marBottom w:val="0"/>
                  <w:divBdr>
                    <w:top w:val="none" w:sz="0" w:space="0" w:color="auto"/>
                    <w:left w:val="none" w:sz="0" w:space="0" w:color="auto"/>
                    <w:bottom w:val="none" w:sz="0" w:space="0" w:color="auto"/>
                    <w:right w:val="none" w:sz="0" w:space="0" w:color="auto"/>
                  </w:divBdr>
                  <w:divsChild>
                    <w:div w:id="1969822922">
                      <w:marLeft w:val="0"/>
                      <w:marRight w:val="0"/>
                      <w:marTop w:val="0"/>
                      <w:marBottom w:val="0"/>
                      <w:divBdr>
                        <w:top w:val="none" w:sz="0" w:space="0" w:color="auto"/>
                        <w:left w:val="none" w:sz="0" w:space="0" w:color="auto"/>
                        <w:bottom w:val="none" w:sz="0" w:space="0" w:color="auto"/>
                        <w:right w:val="none" w:sz="0" w:space="0" w:color="auto"/>
                      </w:divBdr>
                      <w:divsChild>
                        <w:div w:id="626358578">
                          <w:marLeft w:val="0"/>
                          <w:marRight w:val="0"/>
                          <w:marTop w:val="0"/>
                          <w:marBottom w:val="0"/>
                          <w:divBdr>
                            <w:top w:val="none" w:sz="0" w:space="0" w:color="auto"/>
                            <w:left w:val="none" w:sz="0" w:space="0" w:color="auto"/>
                            <w:bottom w:val="none" w:sz="0" w:space="0" w:color="auto"/>
                            <w:right w:val="none" w:sz="0" w:space="0" w:color="auto"/>
                          </w:divBdr>
                        </w:div>
                        <w:div w:id="711424605">
                          <w:marLeft w:val="0"/>
                          <w:marRight w:val="0"/>
                          <w:marTop w:val="0"/>
                          <w:marBottom w:val="0"/>
                          <w:divBdr>
                            <w:top w:val="none" w:sz="0" w:space="0" w:color="auto"/>
                            <w:left w:val="none" w:sz="0" w:space="0" w:color="auto"/>
                            <w:bottom w:val="none" w:sz="0" w:space="0" w:color="auto"/>
                            <w:right w:val="none" w:sz="0" w:space="0" w:color="auto"/>
                          </w:divBdr>
                        </w:div>
                      </w:divsChild>
                    </w:div>
                    <w:div w:id="15442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700571">
      <w:bodyDiv w:val="1"/>
      <w:marLeft w:val="0"/>
      <w:marRight w:val="0"/>
      <w:marTop w:val="0"/>
      <w:marBottom w:val="0"/>
      <w:divBdr>
        <w:top w:val="none" w:sz="0" w:space="0" w:color="auto"/>
        <w:left w:val="none" w:sz="0" w:space="0" w:color="auto"/>
        <w:bottom w:val="none" w:sz="0" w:space="0" w:color="auto"/>
        <w:right w:val="none" w:sz="0" w:space="0" w:color="auto"/>
      </w:divBdr>
    </w:div>
    <w:div w:id="213262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19037-4C91-421F-AA3C-FC3C26288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1227</Words>
  <Characters>700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Juste.Petraite@orlenlietuva.lt</dc:creator>
  <cp:keywords/>
  <dc:description/>
  <cp:lastModifiedBy>Juškienė Gaja (OLT)</cp:lastModifiedBy>
  <cp:revision>9</cp:revision>
  <cp:lastPrinted>2018-06-04T05:47:00Z</cp:lastPrinted>
  <dcterms:created xsi:type="dcterms:W3CDTF">2026-05-12T05:43:00Z</dcterms:created>
  <dcterms:modified xsi:type="dcterms:W3CDTF">2026-05-20T09:24:00Z</dcterms:modified>
</cp:coreProperties>
</file>